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jc w:val="center"/>
        <w:rPr>
          <w:rFonts w:ascii="Times New Roman" w:hAnsi="Times New Roman" w:cs="Times New Roman"/>
          <w:sz w:val="24"/>
          <w:szCs w:val="24"/>
        </w:rPr>
      </w:pPr>
      <w:r w:rsidRPr="0021081B">
        <w:rPr>
          <w:rFonts w:ascii="Times New Roman" w:hAnsi="Times New Roman" w:cs="Times New Roman"/>
          <w:sz w:val="24"/>
          <w:szCs w:val="24"/>
        </w:rPr>
        <w:t>Law</w:t>
      </w:r>
    </w:p>
    <w:p w:rsidR="00BA66E4" w:rsidRPr="0021081B" w:rsidRDefault="00BA66E4" w:rsidP="0021081B">
      <w:pPr>
        <w:spacing w:line="480" w:lineRule="auto"/>
        <w:jc w:val="center"/>
        <w:rPr>
          <w:rFonts w:ascii="Times New Roman" w:hAnsi="Times New Roman" w:cs="Times New Roman"/>
          <w:sz w:val="24"/>
          <w:szCs w:val="24"/>
        </w:rPr>
      </w:pPr>
      <w:r w:rsidRPr="0021081B">
        <w:rPr>
          <w:rFonts w:ascii="Times New Roman" w:hAnsi="Times New Roman" w:cs="Times New Roman"/>
          <w:sz w:val="24"/>
          <w:szCs w:val="24"/>
        </w:rPr>
        <w:t>Name</w:t>
      </w:r>
    </w:p>
    <w:p w:rsidR="00BA66E4" w:rsidRPr="0021081B" w:rsidRDefault="00BA66E4" w:rsidP="0021081B">
      <w:pPr>
        <w:spacing w:line="480" w:lineRule="auto"/>
        <w:jc w:val="center"/>
        <w:rPr>
          <w:rFonts w:ascii="Times New Roman" w:hAnsi="Times New Roman" w:cs="Times New Roman"/>
          <w:sz w:val="24"/>
          <w:szCs w:val="24"/>
        </w:rPr>
      </w:pPr>
      <w:r w:rsidRPr="0021081B">
        <w:rPr>
          <w:rFonts w:ascii="Times New Roman" w:hAnsi="Times New Roman" w:cs="Times New Roman"/>
          <w:sz w:val="24"/>
          <w:szCs w:val="24"/>
        </w:rPr>
        <w:t>Institution</w:t>
      </w:r>
    </w:p>
    <w:p w:rsidR="00A02994" w:rsidRPr="0021081B" w:rsidRDefault="00A02994" w:rsidP="0021081B">
      <w:pPr>
        <w:spacing w:line="480" w:lineRule="auto"/>
        <w:jc w:val="center"/>
        <w:rPr>
          <w:rFonts w:ascii="Times New Roman" w:hAnsi="Times New Roman" w:cs="Times New Roman"/>
          <w:sz w:val="24"/>
          <w:szCs w:val="24"/>
        </w:rPr>
      </w:pPr>
      <w:r w:rsidRPr="0021081B">
        <w:rPr>
          <w:rFonts w:ascii="Times New Roman" w:hAnsi="Times New Roman" w:cs="Times New Roman"/>
          <w:sz w:val="24"/>
          <w:szCs w:val="24"/>
        </w:rPr>
        <w:t>Date</w:t>
      </w: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rPr>
          <w:rFonts w:ascii="Times New Roman" w:hAnsi="Times New Roman" w:cs="Times New Roman"/>
          <w:sz w:val="24"/>
          <w:szCs w:val="24"/>
        </w:rPr>
      </w:pPr>
    </w:p>
    <w:p w:rsidR="00BA66E4" w:rsidRPr="0021081B" w:rsidRDefault="00BA66E4" w:rsidP="0021081B">
      <w:pPr>
        <w:spacing w:line="480" w:lineRule="auto"/>
        <w:jc w:val="center"/>
        <w:rPr>
          <w:rFonts w:ascii="Times New Roman" w:hAnsi="Times New Roman" w:cs="Times New Roman"/>
          <w:sz w:val="24"/>
          <w:szCs w:val="24"/>
        </w:rPr>
      </w:pPr>
      <w:r w:rsidRPr="0021081B">
        <w:rPr>
          <w:rFonts w:ascii="Times New Roman" w:hAnsi="Times New Roman" w:cs="Times New Roman"/>
          <w:sz w:val="24"/>
          <w:szCs w:val="24"/>
        </w:rPr>
        <w:lastRenderedPageBreak/>
        <w:t>Answers</w:t>
      </w:r>
    </w:p>
    <w:p w:rsidR="00CF1DE2" w:rsidRDefault="00BA66E4"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1</w:t>
      </w:r>
      <w:r w:rsidR="002D7BF5" w:rsidRPr="0021081B">
        <w:rPr>
          <w:rFonts w:ascii="Times New Roman" w:hAnsi="Times New Roman" w:cs="Times New Roman"/>
          <w:sz w:val="24"/>
          <w:szCs w:val="24"/>
        </w:rPr>
        <w:t>.</w:t>
      </w:r>
      <w:r w:rsidR="00DE3989" w:rsidRPr="0021081B">
        <w:rPr>
          <w:rFonts w:ascii="Times New Roman" w:hAnsi="Times New Roman" w:cs="Times New Roman"/>
          <w:sz w:val="24"/>
          <w:szCs w:val="24"/>
        </w:rPr>
        <w:t xml:space="preserve"> </w:t>
      </w:r>
    </w:p>
    <w:p w:rsidR="00345973" w:rsidRPr="0021081B" w:rsidRDefault="00DE3989" w:rsidP="0021081B">
      <w:pPr>
        <w:spacing w:line="480" w:lineRule="auto"/>
        <w:rPr>
          <w:rFonts w:ascii="Times New Roman" w:hAnsi="Times New Roman" w:cs="Times New Roman"/>
          <w:sz w:val="24"/>
          <w:szCs w:val="24"/>
        </w:rPr>
      </w:pPr>
      <w:bookmarkStart w:id="0" w:name="_GoBack"/>
      <w:bookmarkEnd w:id="0"/>
      <w:r w:rsidRPr="0021081B">
        <w:rPr>
          <w:rFonts w:ascii="Times New Roman" w:hAnsi="Times New Roman" w:cs="Times New Roman"/>
          <w:sz w:val="24"/>
          <w:szCs w:val="24"/>
        </w:rPr>
        <w:t xml:space="preserve">Contributory negligence refers to the total bar to compensation for any damage that the plaintiff has incurred as a result of negligence. Comparative negligence on the other hand involves a case where the plaintiff is partly compensated for some part of the injuries due to their negligence. Lastly, assumption risk reduces the </w:t>
      </w:r>
      <w:r w:rsidR="002D7BF5" w:rsidRPr="0021081B">
        <w:rPr>
          <w:rFonts w:ascii="Times New Roman" w:hAnsi="Times New Roman" w:cs="Times New Roman"/>
          <w:sz w:val="24"/>
          <w:szCs w:val="24"/>
        </w:rPr>
        <w:t>plaintiff’s</w:t>
      </w:r>
      <w:r w:rsidRPr="0021081B">
        <w:rPr>
          <w:rFonts w:ascii="Times New Roman" w:hAnsi="Times New Roman" w:cs="Times New Roman"/>
          <w:sz w:val="24"/>
          <w:szCs w:val="24"/>
        </w:rPr>
        <w:t xml:space="preserve"> compensation in a case where the defendant is able to show the court that the plaintiff had voluntarily </w:t>
      </w:r>
      <w:r w:rsidR="002D7BF5" w:rsidRPr="0021081B">
        <w:rPr>
          <w:rFonts w:ascii="Times New Roman" w:hAnsi="Times New Roman" w:cs="Times New Roman"/>
          <w:sz w:val="24"/>
          <w:szCs w:val="24"/>
        </w:rPr>
        <w:t>and in full knowledge assumed the risks involved in the activities resulting to the loss.</w:t>
      </w:r>
    </w:p>
    <w:p w:rsid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2. </w:t>
      </w:r>
    </w:p>
    <w:p w:rsidR="00BA66E4" w:rsidRP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The law provides that a plaintiff who is negligent and whose act of negligence contributed to his or her injuries is totally barred from any type of recovery.</w:t>
      </w:r>
    </w:p>
    <w:p w:rsid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3. </w:t>
      </w:r>
    </w:p>
    <w:p w:rsidR="002D7BF5" w:rsidRP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Courts are ensuring that the contributory negligence must be of </w:t>
      </w:r>
      <w:r w:rsidR="006B2D7B" w:rsidRPr="0021081B">
        <w:rPr>
          <w:rFonts w:ascii="Times New Roman" w:hAnsi="Times New Roman" w:cs="Times New Roman"/>
          <w:sz w:val="24"/>
          <w:szCs w:val="24"/>
        </w:rPr>
        <w:t>proximate cause; otherwise the compensation will not be barred. This has been set to ensure that the court is not harsh to the plaintiffs, and to prevent defendants from taking advantage of the rule. Courts also allow the plaintiff to prove that the defendant had a chance to prevent the accident, but they did not.</w:t>
      </w:r>
    </w:p>
    <w:p w:rsid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4. </w:t>
      </w:r>
    </w:p>
    <w:p w:rsidR="006B2D7B" w:rsidRPr="0021081B" w:rsidRDefault="002D7BF5"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The last clear chance doctrine refers to </w:t>
      </w:r>
      <w:r w:rsidR="006B2D7B" w:rsidRPr="0021081B">
        <w:rPr>
          <w:rFonts w:ascii="Times New Roman" w:hAnsi="Times New Roman" w:cs="Times New Roman"/>
          <w:sz w:val="24"/>
          <w:szCs w:val="24"/>
        </w:rPr>
        <w:t xml:space="preserve">the legal provision in tort that is applied in the jurisdictions that involve negligence jurisdictions. Under the last clear chance doctrine a plaintiff can recover their loss if they can prove that the defendant had the last opportunity to prevent the accident. </w:t>
      </w:r>
    </w:p>
    <w:p w:rsidR="0021081B" w:rsidRDefault="006B2D7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lastRenderedPageBreak/>
        <w:t>4a</w:t>
      </w:r>
      <w:r w:rsidR="0021081B">
        <w:rPr>
          <w:rFonts w:ascii="Times New Roman" w:hAnsi="Times New Roman" w:cs="Times New Roman"/>
          <w:sz w:val="24"/>
          <w:szCs w:val="24"/>
        </w:rPr>
        <w:t>.</w:t>
      </w:r>
      <w:r w:rsidRPr="0021081B">
        <w:rPr>
          <w:rFonts w:ascii="Times New Roman" w:hAnsi="Times New Roman" w:cs="Times New Roman"/>
          <w:sz w:val="24"/>
          <w:szCs w:val="24"/>
        </w:rPr>
        <w:t xml:space="preserve"> </w:t>
      </w:r>
    </w:p>
    <w:p w:rsidR="006B2D7B" w:rsidRPr="0021081B" w:rsidRDefault="006B2D7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In the last clear chance doctrine there is the case of a helpless plaintiffs and the inattentive plaintiffs. Also there is the observant and inattentive defendant.</w:t>
      </w:r>
    </w:p>
    <w:p w:rsid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4b.</w:t>
      </w:r>
    </w:p>
    <w:p w:rsidR="00D55B0A" w:rsidRP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The first clear chance doctrine is a rule of law used to determine the responsibility for damages as a result of negligence that allows the plaintiff to show that the defendant had the first chance to prevent the accident from occurring, but the defendant did otherwise. </w:t>
      </w:r>
    </w:p>
    <w:p w:rsid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4c. </w:t>
      </w:r>
    </w:p>
    <w:p w:rsidR="00D55B0A" w:rsidRP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The last clear chance doctrine is not applicable in a case where the accident was caused by the plaintiff’s negligence, and there was no chance for the defendant to change the situation by any means.</w:t>
      </w:r>
    </w:p>
    <w:p w:rsid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5. </w:t>
      </w:r>
    </w:p>
    <w:p w:rsidR="00D55B0A" w:rsidRPr="0021081B" w:rsidRDefault="00D55B0A"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Contributory negligence is not a defense when the claim being made is based on something else other than </w:t>
      </w:r>
      <w:r w:rsidR="006D11F6" w:rsidRPr="0021081B">
        <w:rPr>
          <w:rFonts w:ascii="Times New Roman" w:hAnsi="Times New Roman" w:cs="Times New Roman"/>
          <w:sz w:val="24"/>
          <w:szCs w:val="24"/>
        </w:rPr>
        <w:t>negligence. It is also not a defense when the defendant had a chance to rectify the situation to prevent an accident, but they did not despite the plaintiff’s negligence.</w:t>
      </w:r>
    </w:p>
    <w:p w:rsidR="0021081B" w:rsidRDefault="006D11F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6. </w:t>
      </w:r>
    </w:p>
    <w:p w:rsidR="006D11F6" w:rsidRPr="0021081B" w:rsidRDefault="006D11F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Comparative negligence standard is formulated in efforts to reduce the harsh treatment to plaintiffs that result from the defense use of the negligence rule. It is argued that the offended deserve a portion of the damage compensated despite having been negligent.</w:t>
      </w:r>
    </w:p>
    <w:p w:rsidR="0021081B" w:rsidRDefault="006D11F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7. </w:t>
      </w:r>
    </w:p>
    <w:p w:rsidR="006D11F6" w:rsidRPr="0021081B" w:rsidRDefault="006D11F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lastRenderedPageBreak/>
        <w:t xml:space="preserve">In pure comparative negligence the damages to the offended are totaled and reduced to a figure that reflects the contribution of the defendant to the accident. Modified comparative negligence on the other hand dictates that if a plaintiff </w:t>
      </w:r>
      <w:r w:rsidR="00F50C4B" w:rsidRPr="0021081B">
        <w:rPr>
          <w:rFonts w:ascii="Times New Roman" w:hAnsi="Times New Roman" w:cs="Times New Roman"/>
          <w:sz w:val="24"/>
          <w:szCs w:val="24"/>
        </w:rPr>
        <w:t>is found to have been negligent, in order for them to receive compensation he or she must not be more than 50% at fault for the injury that results.</w:t>
      </w:r>
    </w:p>
    <w:p w:rsidR="0021081B" w:rsidRDefault="00F50C4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7a. </w:t>
      </w:r>
    </w:p>
    <w:p w:rsidR="00F50C4B" w:rsidRPr="0021081B" w:rsidRDefault="00F50C4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In “not greater than" approach it means that one party did not contribute to the accident in a proportion greater than the other. In the case of negligence the plaintiff did not contribute to the accident greater than the defendant. The "not as great as" approach law on the other hand is the case where the plaintiff did not contribute as great as the defendant, but still made a great contribution to the accident. </w:t>
      </w:r>
    </w:p>
    <w:p w:rsidR="0021081B" w:rsidRDefault="00F50C4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7b. </w:t>
      </w:r>
    </w:p>
    <w:p w:rsidR="00F50C4B" w:rsidRPr="0021081B" w:rsidRDefault="00F50C4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The difference is significant since it enables the court to determine the extent of the negligence by the plaintiff so that the right amount of compensation is made.</w:t>
      </w:r>
    </w:p>
    <w:p w:rsidR="0021081B" w:rsidRDefault="00F50C4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8. </w:t>
      </w:r>
    </w:p>
    <w:p w:rsidR="00F50C4B" w:rsidRPr="0021081B" w:rsidRDefault="008B1A32"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In the context of comparative advantage administrative problems arise where there is a need to compare the negligence of the plaintiff with the individual negligence of each defendant. It is always problematic to determine the party whose negligence led to the accident and the loss of property. </w:t>
      </w:r>
    </w:p>
    <w:p w:rsidR="0021081B" w:rsidRDefault="008B1A32"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9.  </w:t>
      </w:r>
    </w:p>
    <w:p w:rsidR="008B1A32" w:rsidRPr="0021081B" w:rsidRDefault="008B1A32"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lastRenderedPageBreak/>
        <w:t xml:space="preserve">Most states that have adopted the comparative negligence rule have also integrated the last clear chance doctrine to allow plaintiffs recover their compensation if they can manage to prove that the defendant had a last chance to prevent the loss. </w:t>
      </w:r>
    </w:p>
    <w:p w:rsidR="008B1A32" w:rsidRPr="0021081B" w:rsidRDefault="008B1A32"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10</w:t>
      </w:r>
      <w:r w:rsidR="00CB1979" w:rsidRPr="0021081B">
        <w:rPr>
          <w:rFonts w:ascii="Times New Roman" w:hAnsi="Times New Roman" w:cs="Times New Roman"/>
          <w:sz w:val="24"/>
          <w:szCs w:val="24"/>
        </w:rPr>
        <w:t>a</w:t>
      </w:r>
      <w:r w:rsidRPr="0021081B">
        <w:rPr>
          <w:rFonts w:ascii="Times New Roman" w:hAnsi="Times New Roman" w:cs="Times New Roman"/>
          <w:sz w:val="24"/>
          <w:szCs w:val="24"/>
        </w:rPr>
        <w:t xml:space="preserve">. Contributory and comparative negligence </w:t>
      </w:r>
      <w:r w:rsidR="00CB1979" w:rsidRPr="0021081B">
        <w:rPr>
          <w:rFonts w:ascii="Times New Roman" w:hAnsi="Times New Roman" w:cs="Times New Roman"/>
          <w:sz w:val="24"/>
          <w:szCs w:val="24"/>
        </w:rPr>
        <w:t>are not a defense to intentional torts.</w:t>
      </w:r>
    </w:p>
    <w:p w:rsidR="00CB1979" w:rsidRPr="0021081B" w:rsidRDefault="00CB1979"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10b. Contributory and comparative negligence are a defense to reckless or willful want on conduct. If the recklessness of the plaintiff leads to the loss, the compensations will be barred or reduced.</w:t>
      </w:r>
    </w:p>
    <w:p w:rsidR="00CB1979" w:rsidRDefault="00CB1979"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10c. Contributory and comparative negligence are a defense to negligence per se. in this case negligence acts will be considered and the compensation reduced. </w:t>
      </w:r>
    </w:p>
    <w:p w:rsidR="0021081B" w:rsidRPr="003C217C" w:rsidRDefault="0021081B" w:rsidP="0021081B">
      <w:pPr>
        <w:spacing w:line="480" w:lineRule="auto"/>
        <w:rPr>
          <w:rFonts w:ascii="Times New Roman" w:hAnsi="Times New Roman" w:cs="Times New Roman"/>
          <w:sz w:val="24"/>
          <w:szCs w:val="24"/>
        </w:rPr>
      </w:pPr>
      <w:r w:rsidRPr="003C217C">
        <w:rPr>
          <w:rFonts w:ascii="Times New Roman" w:hAnsi="Times New Roman" w:cs="Times New Roman"/>
          <w:sz w:val="24"/>
          <w:szCs w:val="24"/>
        </w:rPr>
        <w:t>11.</w:t>
      </w:r>
      <w:r w:rsidRPr="003C217C">
        <w:rPr>
          <w:rFonts w:ascii="Times New Roman" w:hAnsi="Times New Roman" w:cs="Times New Roman"/>
          <w:sz w:val="24"/>
          <w:szCs w:val="24"/>
        </w:rPr>
        <w:tab/>
      </w:r>
    </w:p>
    <w:p w:rsidR="0021081B" w:rsidRDefault="0021081B" w:rsidP="0021081B">
      <w:pPr>
        <w:spacing w:line="480" w:lineRule="auto"/>
        <w:rPr>
          <w:rFonts w:ascii="Times New Roman" w:hAnsi="Times New Roman" w:cs="Times New Roman"/>
          <w:sz w:val="24"/>
          <w:szCs w:val="24"/>
        </w:rPr>
      </w:pPr>
      <w:r w:rsidRPr="003C217C">
        <w:rPr>
          <w:rFonts w:ascii="Times New Roman" w:hAnsi="Times New Roman" w:cs="Times New Roman"/>
          <w:sz w:val="24"/>
          <w:szCs w:val="24"/>
        </w:rPr>
        <w:t>Assumption of risk pertains to when the conduct is reasonable under all the underlying circumstances while contributory negligence is where the risk of harm is of a magnitude that outweighs that which the law regards as the manner in which it is done. The reasonability is measured by what an ordinary man would do under similar circumstances.</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12.</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The adoption of comparative negligence by courts forces the court to consider how the related concept of assumption of risk relates with change. Under the system, the court could take positions such as that assumption of risk is unaffected by the adoption of comparative negligence and is abolished as a defense separate from contributory negligence. The adoption was to mitigate the harshness of contributory negligence.</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13.</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Courts are unlikely to enforce a release when the plaintiff assumes risk expressly under certain conditions. Such include whether the individual’s decision is free and voluntary. Also, a release is unlikely where the plaintiff’s assumption of risk constitutes of the violation of statute. A release may not also be enforced against minors.</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14.</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A release is enforceable under certain circumstances. These include if it is of ordinary negligence, whether the injury from the risks have been through complete contemplation by the parties and if the language in the release is clear and unambiguous. Also the signer needs to be knowing and voluntary to avoid giving up their rights unknowingly.</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15.</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 xml:space="preserve">A plaintiff impliedly assumes the risk from their conduct under the circumstances. The basis of the defense is consent as opposed to contract. Such a scenario include where the plaintiff voluntarily enters into a transaction or relationship in which the defendant’s negligence is evident. </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16.</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The courts treat professional and amateur athletes differently when it comes to impliedly assume risks. A professional athlete is more aware of the damages of the sport and thus presumably more willing to accept the dangers in exchange for the payment or rather salary as compared to the amateur. Therefore, the higher the knowledge of the risk, the stricter the judgement.</w:t>
      </w:r>
    </w:p>
    <w:p w:rsidR="0021081B"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t xml:space="preserve">17. </w:t>
      </w:r>
    </w:p>
    <w:p w:rsidR="0021081B" w:rsidRPr="003C217C" w:rsidRDefault="0021081B" w:rsidP="002108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Immunity is a complete defense when a sovereign state or person is not subjectable to suit without their consent. The state or person is usually immune in the courts of a foreign country.  The foreign courts will therefore not make any legal proceedings against his will.</w:t>
      </w:r>
    </w:p>
    <w:p w:rsidR="0021081B" w:rsidRDefault="00325B5B"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18. </w:t>
      </w:r>
    </w:p>
    <w:p w:rsidR="002D7BF5" w:rsidRP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Sovereign immunity is meant to protect a sovereign state from being sued by the courts in another foreign nation without its consent. It exempts sovereign nation from the jurisdiction of any other foreign country. </w:t>
      </w:r>
    </w:p>
    <w:p w:rsid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19. </w:t>
      </w:r>
    </w:p>
    <w:p w:rsidR="00D7256E" w:rsidRP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The Federal Tort Claims Act (FTCA) was passed to protect medical and health centers from law suits in the case of medical malpractices. Through the law health centers are issued with medical malpractice liability protection. </w:t>
      </w:r>
    </w:p>
    <w:p w:rsid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19a. </w:t>
      </w:r>
    </w:p>
    <w:p w:rsidR="00D7256E" w:rsidRP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The act provides that health centers are Federal employees and they are immune from any lawsuits. It also provides that the Federal government is their primary insurer. It provides that in a health center, all the employees and any other eligible contractors </w:t>
      </w:r>
      <w:r w:rsidR="00FA0996" w:rsidRPr="0021081B">
        <w:rPr>
          <w:rFonts w:ascii="Times New Roman" w:hAnsi="Times New Roman" w:cs="Times New Roman"/>
          <w:sz w:val="24"/>
          <w:szCs w:val="24"/>
        </w:rPr>
        <w:t>are federal workers who are immune from law suits that involve medical malpractices.</w:t>
      </w:r>
    </w:p>
    <w:p w:rsid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19b.</w:t>
      </w:r>
      <w:r w:rsidR="00FA0996" w:rsidRPr="0021081B">
        <w:rPr>
          <w:rFonts w:ascii="Times New Roman" w:hAnsi="Times New Roman" w:cs="Times New Roman"/>
          <w:sz w:val="24"/>
          <w:szCs w:val="24"/>
        </w:rPr>
        <w:t xml:space="preserve"> </w:t>
      </w:r>
    </w:p>
    <w:p w:rsidR="00D7256E" w:rsidRPr="0021081B" w:rsidRDefault="00FA099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The exceptions that limit the scope of the Federal Tort Claims Act (FTCA) is the intentional torts exception</w:t>
      </w:r>
      <w:r w:rsidR="0021081B">
        <w:rPr>
          <w:rFonts w:ascii="Times New Roman" w:hAnsi="Times New Roman" w:cs="Times New Roman"/>
          <w:sz w:val="24"/>
          <w:szCs w:val="24"/>
        </w:rPr>
        <w:t>,</w:t>
      </w:r>
      <w:r w:rsidRPr="0021081B">
        <w:rPr>
          <w:rFonts w:ascii="Times New Roman" w:hAnsi="Times New Roman" w:cs="Times New Roman"/>
          <w:sz w:val="24"/>
          <w:szCs w:val="24"/>
        </w:rPr>
        <w:t xml:space="preserve"> which applies in the case of negligence by an employee. The other exception is that of law enforcement officers, where an officer who makes false arrests, assault and malicious prosecution will be held liable.</w:t>
      </w:r>
    </w:p>
    <w:p w:rsidR="0021081B" w:rsidRDefault="00D7256E"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lastRenderedPageBreak/>
        <w:t>19c.</w:t>
      </w:r>
      <w:r w:rsidR="00FA0996" w:rsidRPr="0021081B">
        <w:rPr>
          <w:rFonts w:ascii="Times New Roman" w:hAnsi="Times New Roman" w:cs="Times New Roman"/>
          <w:sz w:val="24"/>
          <w:szCs w:val="24"/>
        </w:rPr>
        <w:t xml:space="preserve"> </w:t>
      </w:r>
    </w:p>
    <w:p w:rsidR="00FA0996" w:rsidRPr="0021081B" w:rsidRDefault="00FA099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The significance of the act </w:t>
      </w:r>
      <w:r w:rsidR="00DB4AB1" w:rsidRPr="0021081B">
        <w:rPr>
          <w:rFonts w:ascii="Times New Roman" w:hAnsi="Times New Roman" w:cs="Times New Roman"/>
          <w:sz w:val="24"/>
          <w:szCs w:val="24"/>
        </w:rPr>
        <w:t xml:space="preserve">is </w:t>
      </w:r>
      <w:r w:rsidRPr="0021081B">
        <w:rPr>
          <w:rFonts w:ascii="Times New Roman" w:hAnsi="Times New Roman" w:cs="Times New Roman"/>
          <w:sz w:val="24"/>
          <w:szCs w:val="24"/>
        </w:rPr>
        <w:t xml:space="preserve">that it helps in clarifying the privileging and making credible the documentation necessary to offer support to clinical providers in response to certain emergency situations that face the employees in such places. </w:t>
      </w:r>
    </w:p>
    <w:p w:rsidR="0021081B" w:rsidRDefault="00FA0996"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 </w:t>
      </w:r>
      <w:r w:rsidR="00DB4AB1" w:rsidRPr="0021081B">
        <w:rPr>
          <w:rFonts w:ascii="Times New Roman" w:hAnsi="Times New Roman" w:cs="Times New Roman"/>
          <w:sz w:val="24"/>
          <w:szCs w:val="24"/>
        </w:rPr>
        <w:t xml:space="preserve">20. </w:t>
      </w:r>
    </w:p>
    <w:p w:rsidR="00D7256E" w:rsidRPr="0021081B" w:rsidRDefault="00DB4AB1"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State sovereignty has been abolished with the argument that no person or body including a state should be above the law. It also undermines some legal principles of justice and thus it should not exist. It has been abolished in many states also to prevent wrong doing by the state administrators as they use the state immunity to cover their wrongs.</w:t>
      </w:r>
    </w:p>
    <w:p w:rsidR="0021081B" w:rsidRDefault="00DB4AB1"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20a. </w:t>
      </w:r>
    </w:p>
    <w:p w:rsidR="00DB4AB1" w:rsidRPr="0021081B" w:rsidRDefault="00DB4AB1"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There is state immunity in cases where the government officials were acting within the scope of the</w:t>
      </w:r>
      <w:r w:rsidR="00D22404" w:rsidRPr="0021081B">
        <w:rPr>
          <w:rFonts w:ascii="Times New Roman" w:hAnsi="Times New Roman" w:cs="Times New Roman"/>
          <w:sz w:val="24"/>
          <w:szCs w:val="24"/>
        </w:rPr>
        <w:t xml:space="preserve">ir responsibilities and duties. It also applies when the actions of the state were to ensure the security of the citizens, such as protection from terror attacks. The immunity also remains if the state was acting in accordance with the set rules and obligations. </w:t>
      </w:r>
    </w:p>
    <w:p w:rsidR="0021081B" w:rsidRDefault="00D22404"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20b. </w:t>
      </w:r>
    </w:p>
    <w:p w:rsidR="00D22404" w:rsidRPr="0021081B" w:rsidRDefault="00D22404" w:rsidP="0021081B">
      <w:pPr>
        <w:spacing w:line="480" w:lineRule="auto"/>
        <w:rPr>
          <w:rFonts w:ascii="Times New Roman" w:hAnsi="Times New Roman" w:cs="Times New Roman"/>
          <w:sz w:val="24"/>
          <w:szCs w:val="24"/>
        </w:rPr>
      </w:pPr>
      <w:r w:rsidRPr="0021081B">
        <w:rPr>
          <w:rFonts w:ascii="Times New Roman" w:hAnsi="Times New Roman" w:cs="Times New Roman"/>
          <w:sz w:val="24"/>
          <w:szCs w:val="24"/>
        </w:rPr>
        <w:t xml:space="preserve">Most state governments are universally protected from being sued without their consent by other states. The provisions include monetary limitations n damages against the state per occurrence, misrepresentation exceptions to state liability and discretionary function exceptions to state liability. </w:t>
      </w:r>
    </w:p>
    <w:sectPr w:rsidR="00D22404" w:rsidRPr="0021081B" w:rsidSect="00BA66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42C" w:rsidRDefault="0041342C" w:rsidP="00BA66E4">
      <w:pPr>
        <w:spacing w:after="0" w:line="240" w:lineRule="auto"/>
      </w:pPr>
      <w:r>
        <w:separator/>
      </w:r>
    </w:p>
  </w:endnote>
  <w:endnote w:type="continuationSeparator" w:id="0">
    <w:p w:rsidR="0041342C" w:rsidRDefault="0041342C" w:rsidP="00BA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unga">
    <w:altName w:val="Courier New"/>
    <w:panose1 w:val="00000400000000000000"/>
    <w:charset w:val="01"/>
    <w:family w:val="roman"/>
    <w:notTrueType/>
    <w:pitch w:val="variable"/>
  </w:font>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42C" w:rsidRDefault="0041342C" w:rsidP="00BA66E4">
      <w:pPr>
        <w:spacing w:after="0" w:line="240" w:lineRule="auto"/>
      </w:pPr>
      <w:r>
        <w:separator/>
      </w:r>
    </w:p>
  </w:footnote>
  <w:footnote w:type="continuationSeparator" w:id="0">
    <w:p w:rsidR="0041342C" w:rsidRDefault="0041342C" w:rsidP="00BA6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E4" w:rsidRPr="00BA66E4" w:rsidRDefault="00BA66E4">
    <w:pPr>
      <w:pStyle w:val="Header"/>
      <w:rPr>
        <w:rFonts w:ascii="Times New Roman" w:hAnsi="Times New Roman" w:cs="Times New Roman"/>
        <w:sz w:val="24"/>
        <w:szCs w:val="24"/>
      </w:rPr>
    </w:pPr>
    <w:r w:rsidRPr="00BA66E4">
      <w:rPr>
        <w:rFonts w:ascii="Times New Roman" w:hAnsi="Times New Roman" w:cs="Times New Roman"/>
        <w:sz w:val="24"/>
        <w:szCs w:val="24"/>
      </w:rPr>
      <w:t xml:space="preserve">LAW                </w:t>
    </w:r>
    <w:r>
      <w:rPr>
        <w:rFonts w:ascii="Times New Roman" w:hAnsi="Times New Roman" w:cs="Times New Roman"/>
        <w:sz w:val="24"/>
        <w:szCs w:val="24"/>
      </w:rPr>
      <w:t xml:space="preserve">                         </w:t>
    </w:r>
    <w:r w:rsidRPr="00BA66E4">
      <w:rPr>
        <w:rFonts w:ascii="Times New Roman" w:hAnsi="Times New Roman" w:cs="Times New Roman"/>
        <w:sz w:val="24"/>
        <w:szCs w:val="24"/>
      </w:rPr>
      <w:t xml:space="preserve">                                                                                  </w:t>
    </w:r>
    <w:r w:rsidRPr="00BA66E4">
      <w:rPr>
        <w:rFonts w:ascii="Times New Roman" w:hAnsi="Times New Roman" w:cs="Times New Roman"/>
        <w:sz w:val="24"/>
        <w:szCs w:val="24"/>
      </w:rPr>
      <w:fldChar w:fldCharType="begin"/>
    </w:r>
    <w:r w:rsidRPr="00BA66E4">
      <w:rPr>
        <w:rFonts w:ascii="Times New Roman" w:hAnsi="Times New Roman" w:cs="Times New Roman"/>
        <w:sz w:val="24"/>
        <w:szCs w:val="24"/>
      </w:rPr>
      <w:instrText xml:space="preserve"> PAGE   \* MERGEFORMAT </w:instrText>
    </w:r>
    <w:r w:rsidRPr="00BA66E4">
      <w:rPr>
        <w:rFonts w:ascii="Times New Roman" w:hAnsi="Times New Roman" w:cs="Times New Roman"/>
        <w:sz w:val="24"/>
        <w:szCs w:val="24"/>
      </w:rPr>
      <w:fldChar w:fldCharType="separate"/>
    </w:r>
    <w:r w:rsidR="00CF1DE2">
      <w:rPr>
        <w:rFonts w:ascii="Times New Roman" w:hAnsi="Times New Roman" w:cs="Times New Roman"/>
        <w:noProof/>
        <w:sz w:val="24"/>
        <w:szCs w:val="24"/>
      </w:rPr>
      <w:t>8</w:t>
    </w:r>
    <w:r w:rsidRPr="00BA66E4">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E4" w:rsidRDefault="00A02994" w:rsidP="00BA66E4">
    <w:pPr>
      <w:rPr>
        <w:rFonts w:ascii="Times New Roman" w:hAnsi="Times New Roman" w:cs="Times New Roman"/>
        <w:sz w:val="24"/>
        <w:szCs w:val="24"/>
      </w:rPr>
    </w:pPr>
    <w:r>
      <w:rPr>
        <w:rFonts w:ascii="Times New Roman" w:hAnsi="Times New Roman" w:cs="Times New Roman"/>
        <w:sz w:val="24"/>
        <w:szCs w:val="24"/>
      </w:rPr>
      <w:t>Running Head:</w:t>
    </w:r>
    <w:r w:rsidR="00BA66E4">
      <w:rPr>
        <w:rFonts w:ascii="Times New Roman" w:hAnsi="Times New Roman" w:cs="Times New Roman"/>
        <w:sz w:val="24"/>
        <w:szCs w:val="24"/>
      </w:rPr>
      <w:t xml:space="preserve"> LAW           </w:t>
    </w:r>
    <w:r w:rsidR="00131BD3">
      <w:rPr>
        <w:rFonts w:ascii="Times New Roman" w:hAnsi="Times New Roman" w:cs="Times New Roman"/>
        <w:sz w:val="24"/>
        <w:szCs w:val="24"/>
      </w:rPr>
      <w:tab/>
    </w:r>
    <w:r w:rsidR="00131BD3">
      <w:rPr>
        <w:rFonts w:ascii="Times New Roman" w:hAnsi="Times New Roman" w:cs="Times New Roman"/>
        <w:sz w:val="24"/>
        <w:szCs w:val="24"/>
      </w:rPr>
      <w:tab/>
    </w:r>
    <w:r w:rsidR="00BA66E4">
      <w:rPr>
        <w:rFonts w:ascii="Times New Roman" w:hAnsi="Times New Roman" w:cs="Times New Roman"/>
        <w:sz w:val="24"/>
        <w:szCs w:val="24"/>
      </w:rPr>
      <w:t xml:space="preserve">                                                                                       </w:t>
    </w:r>
    <w:r w:rsidR="00BA66E4" w:rsidRPr="00BA66E4">
      <w:rPr>
        <w:rFonts w:ascii="Times New Roman" w:hAnsi="Times New Roman" w:cs="Times New Roman"/>
        <w:sz w:val="24"/>
        <w:szCs w:val="24"/>
      </w:rPr>
      <w:fldChar w:fldCharType="begin"/>
    </w:r>
    <w:r w:rsidR="00BA66E4" w:rsidRPr="00BA66E4">
      <w:rPr>
        <w:rFonts w:ascii="Times New Roman" w:hAnsi="Times New Roman" w:cs="Times New Roman"/>
        <w:sz w:val="24"/>
        <w:szCs w:val="24"/>
      </w:rPr>
      <w:instrText xml:space="preserve"> PAGE   \* MERGEFORMAT </w:instrText>
    </w:r>
    <w:r w:rsidR="00BA66E4" w:rsidRPr="00BA66E4">
      <w:rPr>
        <w:rFonts w:ascii="Times New Roman" w:hAnsi="Times New Roman" w:cs="Times New Roman"/>
        <w:sz w:val="24"/>
        <w:szCs w:val="24"/>
      </w:rPr>
      <w:fldChar w:fldCharType="separate"/>
    </w:r>
    <w:r w:rsidR="00CF1DE2">
      <w:rPr>
        <w:rFonts w:ascii="Times New Roman" w:hAnsi="Times New Roman" w:cs="Times New Roman"/>
        <w:noProof/>
        <w:sz w:val="24"/>
        <w:szCs w:val="24"/>
      </w:rPr>
      <w:t>1</w:t>
    </w:r>
    <w:r w:rsidR="00BA66E4" w:rsidRPr="00BA66E4">
      <w:rPr>
        <w:rFonts w:ascii="Times New Roman" w:hAnsi="Times New Roman" w:cs="Times New Roman"/>
        <w:sz w:val="24"/>
        <w:szCs w:val="24"/>
      </w:rPr>
      <w:fldChar w:fldCharType="end"/>
    </w:r>
  </w:p>
  <w:p w:rsidR="00BA66E4" w:rsidRDefault="00BA6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bMwtjQ0NjUyNzexMLFU0lEKTi0uzszPAykwqgUAo0luYywAAAA="/>
  </w:docVars>
  <w:rsids>
    <w:rsidRoot w:val="00BA66E4"/>
    <w:rsid w:val="00131BD3"/>
    <w:rsid w:val="00143168"/>
    <w:rsid w:val="00170DC4"/>
    <w:rsid w:val="0021081B"/>
    <w:rsid w:val="00282E68"/>
    <w:rsid w:val="002D7BF5"/>
    <w:rsid w:val="00325B5B"/>
    <w:rsid w:val="00345973"/>
    <w:rsid w:val="00397815"/>
    <w:rsid w:val="003A3866"/>
    <w:rsid w:val="003C188A"/>
    <w:rsid w:val="0041342C"/>
    <w:rsid w:val="004A5649"/>
    <w:rsid w:val="004F3B24"/>
    <w:rsid w:val="00580FAB"/>
    <w:rsid w:val="005A5903"/>
    <w:rsid w:val="005E2B77"/>
    <w:rsid w:val="006B2D7B"/>
    <w:rsid w:val="006D11F6"/>
    <w:rsid w:val="006E1515"/>
    <w:rsid w:val="00742294"/>
    <w:rsid w:val="008B1A32"/>
    <w:rsid w:val="008E40A3"/>
    <w:rsid w:val="009568B3"/>
    <w:rsid w:val="00975AE9"/>
    <w:rsid w:val="009C2A63"/>
    <w:rsid w:val="009E15C7"/>
    <w:rsid w:val="00A02994"/>
    <w:rsid w:val="00A954EC"/>
    <w:rsid w:val="00AE1F9C"/>
    <w:rsid w:val="00B91D35"/>
    <w:rsid w:val="00BA6198"/>
    <w:rsid w:val="00BA66E4"/>
    <w:rsid w:val="00BC6D59"/>
    <w:rsid w:val="00CB1979"/>
    <w:rsid w:val="00CC1A1A"/>
    <w:rsid w:val="00CF1DE2"/>
    <w:rsid w:val="00D22404"/>
    <w:rsid w:val="00D55B0A"/>
    <w:rsid w:val="00D7256E"/>
    <w:rsid w:val="00DB4AB1"/>
    <w:rsid w:val="00DE3989"/>
    <w:rsid w:val="00E05CDE"/>
    <w:rsid w:val="00EE1DB6"/>
    <w:rsid w:val="00F50C4B"/>
    <w:rsid w:val="00FA0996"/>
  </w:rsids>
  <m:mathPr>
    <m:mathFont m:val="Cambria Math"/>
    <m:brkBin m:val="before"/>
    <m:brkBinSub m:val="--"/>
    <m:smallFrac m:val="0"/>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A6EEB9-3F86-4BAB-92AE-465A326C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kn-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DB6"/>
  </w:style>
  <w:style w:type="paragraph" w:styleId="Heading1">
    <w:name w:val="heading 1"/>
    <w:basedOn w:val="Normal"/>
    <w:next w:val="Normal"/>
    <w:link w:val="Heading1Char"/>
    <w:uiPriority w:val="9"/>
    <w:qFormat/>
    <w:rsid w:val="00D725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6E4"/>
  </w:style>
  <w:style w:type="paragraph" w:styleId="Footer">
    <w:name w:val="footer"/>
    <w:basedOn w:val="Normal"/>
    <w:link w:val="FooterChar"/>
    <w:uiPriority w:val="99"/>
    <w:unhideWhenUsed/>
    <w:rsid w:val="00BA6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6E4"/>
  </w:style>
  <w:style w:type="character" w:customStyle="1" w:styleId="Heading1Char">
    <w:name w:val="Heading 1 Char"/>
    <w:basedOn w:val="DefaultParagraphFont"/>
    <w:link w:val="Heading1"/>
    <w:uiPriority w:val="9"/>
    <w:rsid w:val="00D7256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177354">
      <w:bodyDiv w:val="1"/>
      <w:marLeft w:val="0"/>
      <w:marRight w:val="0"/>
      <w:marTop w:val="0"/>
      <w:marBottom w:val="0"/>
      <w:divBdr>
        <w:top w:val="none" w:sz="0" w:space="0" w:color="auto"/>
        <w:left w:val="none" w:sz="0" w:space="0" w:color="auto"/>
        <w:bottom w:val="none" w:sz="0" w:space="0" w:color="auto"/>
        <w:right w:val="none" w:sz="0" w:space="0" w:color="auto"/>
      </w:divBdr>
    </w:div>
    <w:div w:id="137704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Admin</cp:lastModifiedBy>
  <cp:revision>7</cp:revision>
  <dcterms:created xsi:type="dcterms:W3CDTF">2017-12-04T05:27:00Z</dcterms:created>
  <dcterms:modified xsi:type="dcterms:W3CDTF">2017-12-04T05:42:00Z</dcterms:modified>
</cp:coreProperties>
</file>